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A1A2E"/>
          <w:sz w:val="38"/>
        </w:rPr>
        <w:t>Caseload Master List</w:t>
      </w:r>
    </w:p>
    <w:p>
      <w:r>
        <w:rPr>
          <w:color w:val="6B7280"/>
          <w:sz w:val="18"/>
        </w:rPr>
        <w:t>Every student, every date, one page. Bundle-exclusive — not in the free set.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61"/>
        <w:gridCol w:w="1461"/>
        <w:gridCol w:w="1461"/>
        <w:gridCol w:w="1461"/>
        <w:gridCol w:w="1461"/>
        <w:gridCol w:w="1461"/>
        <w:gridCol w:w="1461"/>
      </w:tblGrid>
      <w:tr>
        <w:tc>
          <w:tcPr>
            <w:tcW w:type="dxa" w:w="1728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STUDENT</w:t>
            </w:r>
          </w:p>
        </w:tc>
        <w:tc>
          <w:tcPr>
            <w:tcW w:type="dxa" w:w="86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GRADE</w:t>
            </w:r>
          </w:p>
        </w:tc>
        <w:tc>
          <w:tcPr>
            <w:tcW w:type="dxa" w:w="158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DISABILITY</w:t>
            </w:r>
          </w:p>
        </w:tc>
        <w:tc>
          <w:tcPr>
            <w:tcW w:type="dxa" w:w="158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ANNUAL REVIEW</w:t>
            </w:r>
          </w:p>
        </w:tc>
        <w:tc>
          <w:tcPr>
            <w:tcW w:type="dxa" w:w="14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TRIENNIAL</w:t>
            </w:r>
          </w:p>
        </w:tc>
        <w:tc>
          <w:tcPr>
            <w:tcW w:type="dxa" w:w="1728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SERVICES</w:t>
            </w:r>
          </w:p>
        </w:tc>
        <w:tc>
          <w:tcPr>
            <w:tcW w:type="dxa" w:w="1296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NOTES</w:t>
            </w:r>
          </w:p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864"/>
          </w:tcPr>
          <w:p/>
        </w:tc>
        <w:tc>
          <w:tcPr>
            <w:tcW w:type="dxa" w:w="1584"/>
          </w:tcPr>
          <w:p/>
        </w:tc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296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FEF3C7"/>
          </w:tcPr>
          <w:p>
            <w:r/>
            <w:r>
              <w:rPr>
                <w:sz w:val="17"/>
              </w:rPr>
              <w:t>Sort by annual review date at the start of the year. The two months before a cluster of reviews is when caseload management either works or falls apart.</w:t>
            </w:r>
          </w:p>
        </w:tc>
      </w:tr>
    </w:tbl>
    <w:p/>
    <w:p>
      <w:r>
        <w:br w:type="page"/>
      </w:r>
    </w:p>
    <w:p>
      <w:r>
        <w:rPr>
          <w:b/>
          <w:color w:val="1A1A2E"/>
          <w:sz w:val="38"/>
        </w:rPr>
        <w:t>Beginning-of-Year Checklist</w:t>
      </w:r>
    </w:p>
    <w:p>
      <w:r>
        <w:rPr>
          <w:color w:val="6B7280"/>
          <w:sz w:val="18"/>
        </w:rPr>
        <w:t>Bundle-exclusive.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PAPERWORK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1008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DONE</w:t>
            </w:r>
          </w:p>
        </w:tc>
        <w:tc>
          <w:tcPr>
            <w:tcW w:type="dxa" w:w="9072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TASK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Read every IEP on the caseload before day 1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Log all annual review and triennial dates in one calendar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Flag any review due in the first 6 weeks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Confirm service minutes match the master schedule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PEOPLE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1008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DONE</w:t>
            </w:r>
          </w:p>
        </w:tc>
        <w:tc>
          <w:tcPr>
            <w:tcW w:type="dxa" w:w="9072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TASK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Give every gen ed teacher an IEP at a Glance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Schedule paras and post the assignment grid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Introduce yourself to each family before the first problem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Confirm interpreter needs for any family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ROOM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1008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DONE</w:t>
            </w:r>
          </w:p>
        </w:tc>
        <w:tc>
          <w:tcPr>
            <w:tcW w:type="dxa" w:w="9072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TASK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Set up data collection system and print sheets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Prepare the substitute binder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Run reinforcer inventories for students with behavior plans</w:t>
            </w:r>
          </w:p>
        </w:tc>
      </w:tr>
      <w:tr>
        <w:tc>
          <w:tcPr>
            <w:tcW w:type="dxa" w:w="1008"/>
          </w:tcPr>
          <w:p/>
        </w:tc>
        <w:tc>
          <w:tcPr>
            <w:tcW w:type="dxa" w:w="9072"/>
          </w:tcPr>
          <w:p>
            <w:r>
              <w:t>Set up home–school communication routine</w:t>
            </w:r>
          </w:p>
        </w:tc>
      </w:tr>
    </w:tbl>
    <w:p/>
    <w:p>
      <w:pPr>
        <w:jc w:val="center"/>
      </w:pPr>
      <w:r>
        <w:rPr>
          <w:color w:val="6B7280"/>
          <w:sz w:val="15"/>
        </w:rPr>
        <w:t>Editable template · IEP Goal Writer — iepgoalwriter.pro · Licensed for your own classroom and team. Do not resell or redistribute.</w:t>
      </w:r>
    </w:p>
    <w:sectPr w:rsidR="00FC693F" w:rsidRPr="0006063C" w:rsidSect="00034616">
      <w:pgSz w:w="12240" w:h="15840"/>
      <w:pgMar w:top="864" w:right="1008" w:bottom="79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